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94</w:t>
      </w:r>
      <w:r>
        <w:rPr>
          <w:rFonts w:hint="eastAsia" w:ascii="Arial" w:hAnsi="Arial" w:eastAsia="宋体" w:cs="Arial"/>
          <w:b/>
          <w:sz w:val="24"/>
          <w:szCs w:val="24"/>
          <w:lang w:val="en-US" w:eastAsia="zh-CN"/>
        </w:rPr>
        <w:t>-e-</w:t>
      </w:r>
      <w:r>
        <w:rPr>
          <w:rFonts w:ascii="Arial" w:hAnsi="Arial" w:eastAsia="宋体" w:cs="Arial"/>
          <w:b/>
          <w:sz w:val="24"/>
          <w:szCs w:val="24"/>
          <w:lang w:eastAsia="zh-CN"/>
        </w:rPr>
        <w:t>bis</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R4-2003838</w:t>
      </w:r>
      <w:bookmarkStart w:id="6" w:name="_GoBack"/>
      <w:bookmarkEnd w:id="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20</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 Apr.,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UE behavior in</w:t>
      </w:r>
      <w:r>
        <w:rPr>
          <w:rFonts w:hint="eastAsia" w:ascii="Arial" w:hAnsi="Arial" w:eastAsia="Calibri" w:cs="Arial"/>
          <w:b/>
          <w:bCs/>
          <w:sz w:val="24"/>
          <w:lang w:val="en-GB"/>
        </w:rPr>
        <w:t xml:space="preserve"> RRC release with re</w:t>
      </w:r>
      <w:r>
        <w:rPr>
          <w:rFonts w:hint="eastAsia" w:ascii="Arial" w:hAnsi="Arial" w:eastAsia="宋体" w:cs="Arial"/>
          <w:b/>
          <w:bCs/>
          <w:sz w:val="24"/>
          <w:lang w:val="en-US" w:eastAsia="zh-CN"/>
        </w:rPr>
        <w:t>-</w:t>
      </w:r>
      <w:r>
        <w:rPr>
          <w:rFonts w:hint="eastAsia" w:ascii="Arial" w:hAnsi="Arial" w:eastAsia="Calibri" w:cs="Arial"/>
          <w:b/>
          <w:bCs/>
          <w:sz w:val="24"/>
          <w:lang w:val="en-GB"/>
        </w:rPr>
        <w:t>direction in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 it</w:t>
      </w:r>
      <w:r>
        <w:rPr>
          <w:rFonts w:hint="default" w:eastAsia="宋体"/>
          <w:sz w:val="22"/>
          <w:szCs w:val="22"/>
          <w:lang w:val="en-US" w:eastAsia="zh-CN"/>
        </w:rPr>
        <w:t>’</w:t>
      </w:r>
      <w:r>
        <w:rPr>
          <w:rFonts w:hint="eastAsia" w:eastAsia="宋体"/>
          <w:sz w:val="22"/>
          <w:szCs w:val="22"/>
          <w:lang w:val="en-US" w:eastAsia="zh-CN"/>
        </w:rPr>
        <w:t>s left to future study the UE behavior when L</w:t>
      </w:r>
      <w:r>
        <w:rPr>
          <w:rFonts w:hint="eastAsia" w:eastAsia="宋体"/>
          <w:sz w:val="22"/>
          <w:szCs w:val="22"/>
          <w:vertAlign w:val="subscript"/>
          <w:lang w:val="en-US" w:eastAsia="zh-CN"/>
        </w:rPr>
        <w:t>2,max</w:t>
      </w:r>
      <w:r>
        <w:rPr>
          <w:rFonts w:hint="eastAsia" w:eastAsia="宋体"/>
          <w:sz w:val="22"/>
          <w:szCs w:val="22"/>
          <w:lang w:val="en-US" w:eastAsia="zh-CN"/>
        </w:rPr>
        <w:t xml:space="preserve"> is exceeded [1]. The content in WF [1] is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both"/>
              <w:rPr>
                <w:rFonts w:hint="default" w:eastAsia="宋体"/>
                <w:sz w:val="22"/>
                <w:szCs w:val="22"/>
                <w:vertAlign w:val="baseline"/>
                <w:lang w:val="en-US" w:eastAsia="zh-CN"/>
              </w:rPr>
            </w:pPr>
            <w:r>
              <w:drawing>
                <wp:inline distT="0" distB="0" distL="114300" distR="114300">
                  <wp:extent cx="5617210" cy="18580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17210" cy="1858010"/>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eastAsia"/>
          <w:sz w:val="22"/>
          <w:szCs w:val="22"/>
          <w:lang w:val="en-US" w:eastAsia="zh-CN"/>
        </w:rPr>
      </w:pPr>
      <w:r>
        <w:rPr>
          <w:rFonts w:hint="eastAsia" w:eastAsia="宋体"/>
          <w:sz w:val="22"/>
          <w:szCs w:val="22"/>
          <w:lang w:val="en-US" w:eastAsia="zh-CN"/>
        </w:rPr>
        <w:t>In this paper, we tend to discuss this issue and provide our view.</w:t>
      </w:r>
    </w:p>
    <w:p>
      <w:pPr>
        <w:pStyle w:val="27"/>
        <w:jc w:val="both"/>
        <w:rPr>
          <w:rFonts w:hint="default"/>
          <w:lang w:val="en-US" w:eastAsia="zh-CN"/>
        </w:rPr>
      </w:pPr>
      <w:r>
        <w:rPr>
          <w:rFonts w:hint="eastAsia"/>
          <w:lang w:val="en-US" w:eastAsia="zh-CN"/>
        </w:rPr>
        <w:t>2</w:t>
      </w:r>
      <w:r>
        <w:tab/>
      </w:r>
      <w:r>
        <w:rPr>
          <w:rFonts w:hint="eastAsia"/>
          <w:lang w:val="en-US" w:eastAsia="zh-CN"/>
        </w:rPr>
        <w:t>UE behavior when L</w:t>
      </w:r>
      <w:r>
        <w:rPr>
          <w:rFonts w:hint="eastAsia"/>
          <w:vertAlign w:val="subscript"/>
          <w:lang w:val="en-US" w:eastAsia="zh-CN"/>
        </w:rPr>
        <w:t>2</w:t>
      </w:r>
      <w:r>
        <w:rPr>
          <w:rFonts w:hint="eastAsia"/>
          <w:lang w:val="en-US" w:eastAsia="zh-CN"/>
        </w:rPr>
        <w:t xml:space="preserve"> exceeds L</w:t>
      </w:r>
      <w:r>
        <w:rPr>
          <w:rFonts w:hint="eastAsia"/>
          <w:vertAlign w:val="subscript"/>
          <w:lang w:val="en-US" w:eastAsia="zh-CN"/>
        </w:rPr>
        <w:t>2,max</w:t>
      </w:r>
    </w:p>
    <w:p>
      <w:pPr>
        <w:rPr>
          <w:rFonts w:hint="eastAsia"/>
          <w:sz w:val="22"/>
          <w:szCs w:val="22"/>
          <w:lang w:val="en-US" w:eastAsia="zh-CN"/>
        </w:rPr>
      </w:pPr>
      <w:r>
        <w:rPr>
          <w:rFonts w:hint="eastAsia"/>
          <w:sz w:val="22"/>
          <w:szCs w:val="22"/>
          <w:lang w:val="en-US" w:eastAsia="zh-CN"/>
        </w:rPr>
        <w:t>After giving the background of discussions, we discuss the UE behavior when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which means when re-directing to a cell in unlicensed band, the UE can</w:t>
      </w:r>
      <w:r>
        <w:rPr>
          <w:rFonts w:hint="default"/>
          <w:sz w:val="22"/>
          <w:szCs w:val="22"/>
          <w:lang w:val="en-US" w:eastAsia="zh-CN"/>
        </w:rPr>
        <w:t>’</w:t>
      </w:r>
      <w:r>
        <w:rPr>
          <w:rFonts w:hint="eastAsia"/>
          <w:sz w:val="22"/>
          <w:szCs w:val="22"/>
          <w:lang w:val="en-US" w:eastAsia="zh-CN"/>
        </w:rPr>
        <w:t>t manage to send RACH because of consecutive UL LBT failures. While in RAN2, there have been discussions on mechanism to handle UL LBT failures (as mentioned by some companies in previous RAN4 meetings [2]), yet it</w:t>
      </w:r>
      <w:r>
        <w:rPr>
          <w:rFonts w:hint="default"/>
          <w:sz w:val="22"/>
          <w:szCs w:val="22"/>
          <w:lang w:val="en-US" w:eastAsia="zh-CN"/>
        </w:rPr>
        <w:t>’</w:t>
      </w:r>
      <w:r>
        <w:rPr>
          <w:rFonts w:hint="eastAsia"/>
          <w:sz w:val="22"/>
          <w:szCs w:val="22"/>
          <w:lang w:val="en-US" w:eastAsia="zh-CN"/>
        </w:rPr>
        <w:t>s not supported for UEs in IDLE or INACTIVE mode to send report on consecutive UL LBT failures. Thus, existing RAN2 mechanism can</w:t>
      </w:r>
      <w:r>
        <w:rPr>
          <w:rFonts w:hint="default"/>
          <w:sz w:val="22"/>
          <w:szCs w:val="22"/>
          <w:lang w:val="en-US" w:eastAsia="zh-CN"/>
        </w:rPr>
        <w:t>’</w:t>
      </w:r>
      <w:r>
        <w:rPr>
          <w:rFonts w:hint="eastAsia"/>
          <w:sz w:val="22"/>
          <w:szCs w:val="22"/>
          <w:lang w:val="en-US" w:eastAsia="zh-CN"/>
        </w:rPr>
        <w:t>t solve the problem.</w:t>
      </w:r>
    </w:p>
    <w:p>
      <w:pPr>
        <w:pStyle w:val="39"/>
        <w:rPr>
          <w:rFonts w:hint="default"/>
          <w:sz w:val="22"/>
          <w:szCs w:val="22"/>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w:t>
      </w:r>
    </w:p>
    <w:p>
      <w:pPr>
        <w:rPr>
          <w:rFonts w:hint="eastAsia"/>
          <w:sz w:val="22"/>
          <w:szCs w:val="22"/>
          <w:lang w:val="en-US" w:eastAsia="zh-CN"/>
        </w:rPr>
      </w:pPr>
      <w:r>
        <w:rPr>
          <w:rFonts w:hint="eastAsia"/>
          <w:sz w:val="22"/>
          <w:szCs w:val="22"/>
          <w:lang w:val="en-US" w:eastAsia="zh-CN"/>
        </w:rPr>
        <w:t>If the UE is not able to transmit RACH due to consecutive UL LBT failures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then the result will be similar when</w:t>
      </w:r>
      <w:r>
        <w:rPr>
          <w:rFonts w:hint="eastAsia" w:eastAsia="宋体"/>
          <w:sz w:val="22"/>
          <w:szCs w:val="22"/>
          <w:lang w:val="en-US" w:eastAsia="zh-CN"/>
        </w:rPr>
        <w:t xml:space="preserve">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which is the UE fails to camp on the target NR-U cell. In this case, the simple solution for the UE is to allow it to camp on any NR cell, just like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r>
        <w:rPr>
          <w:rFonts w:hint="eastAsia"/>
          <w:sz w:val="22"/>
          <w:szCs w:val="22"/>
          <w:lang w:val="en-US" w:eastAsia="zh-CN"/>
        </w:rPr>
        <w:t xml:space="preserve"> The UE shall complete the process of selecting another NR cell to camp on also in a certain period of time.</w:t>
      </w:r>
    </w:p>
    <w:p>
      <w:pPr>
        <w:pStyle w:val="35"/>
        <w:rPr>
          <w:rFonts w:hint="default"/>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is allowed to camp on any NR cell. The delay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p>
    <w:p>
      <w:pPr>
        <w:pStyle w:val="27"/>
        <w:jc w:val="both"/>
      </w:pPr>
      <w:r>
        <w:rPr>
          <w:rFonts w:hint="eastAsia"/>
          <w:lang w:val="en-US" w:eastAsia="zh-CN"/>
        </w:rPr>
        <w:t>3</w:t>
      </w:r>
      <w:r>
        <w:tab/>
      </w:r>
      <w:r>
        <w:t>Conclusion</w:t>
      </w:r>
    </w:p>
    <w:p>
      <w:pPr>
        <w:pStyle w:val="39"/>
        <w:numPr>
          <w:ilvl w:val="0"/>
          <w:numId w:val="6"/>
        </w:numPr>
        <w:rPr>
          <w:rFonts w:hint="eastAsia"/>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w:t>
      </w:r>
      <w:r>
        <w:rPr>
          <w:rFonts w:hint="eastAsia" w:eastAsia="宋体"/>
          <w:sz w:val="22"/>
          <w:szCs w:val="22"/>
          <w:lang w:val="en-US" w:eastAsia="zh-CN"/>
        </w:rPr>
        <w:t>.</w:t>
      </w:r>
    </w:p>
    <w:p>
      <w:pPr>
        <w:pStyle w:val="35"/>
        <w:numPr>
          <w:ilvl w:val="0"/>
          <w:numId w:val="0"/>
        </w:numPr>
        <w:ind w:leftChars="0"/>
        <w:rPr>
          <w:rFonts w:hint="default"/>
          <w:sz w:val="22"/>
          <w:szCs w:val="22"/>
          <w:lang w:val="en-US" w:eastAsia="zh-CN"/>
        </w:rPr>
      </w:pPr>
      <w:r>
        <w:rPr>
          <w:rFonts w:hint="eastAsia"/>
          <w:sz w:val="22"/>
          <w:szCs w:val="22"/>
          <w:lang w:val="en-US" w:eastAsia="zh-CN"/>
        </w:rPr>
        <w:t xml:space="preserve">Proposal 1: </w:t>
      </w: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is allowed to camp on any NR cell. The delay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b/>
          <w:bCs w:val="0"/>
          <w:color w:val="auto"/>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5" w:name="_Ref2843888"/>
      <w:r>
        <w:rPr>
          <w:rFonts w:hint="eastAsia" w:eastAsia="宋体"/>
          <w:lang w:val="en-US" w:eastAsia="zh-CN"/>
        </w:rPr>
        <w:t>R4-2002336</w:t>
      </w:r>
      <w:bookmarkEnd w:id="5"/>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R4-1914880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580F34"/>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8025F"/>
    <w:rsid w:val="0873226E"/>
    <w:rsid w:val="08935729"/>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E1C586B"/>
    <w:rsid w:val="0E5237AB"/>
    <w:rsid w:val="0ED138E6"/>
    <w:rsid w:val="0EED584B"/>
    <w:rsid w:val="0F67780F"/>
    <w:rsid w:val="0F8F3C2A"/>
    <w:rsid w:val="0FB648CB"/>
    <w:rsid w:val="0FD0731A"/>
    <w:rsid w:val="0FF1533A"/>
    <w:rsid w:val="0FFE0AFA"/>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52811FD"/>
    <w:rsid w:val="164F667E"/>
    <w:rsid w:val="165D0583"/>
    <w:rsid w:val="16654289"/>
    <w:rsid w:val="16DB79C9"/>
    <w:rsid w:val="17141F2D"/>
    <w:rsid w:val="17A076C4"/>
    <w:rsid w:val="17A62BCE"/>
    <w:rsid w:val="17E826AB"/>
    <w:rsid w:val="18D3414F"/>
    <w:rsid w:val="18D91924"/>
    <w:rsid w:val="19A96435"/>
    <w:rsid w:val="1A0B3A21"/>
    <w:rsid w:val="1AB42A6C"/>
    <w:rsid w:val="1B3329B5"/>
    <w:rsid w:val="1B7F155B"/>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1D800D6"/>
    <w:rsid w:val="220539DF"/>
    <w:rsid w:val="22571B82"/>
    <w:rsid w:val="22920D1D"/>
    <w:rsid w:val="22C0245E"/>
    <w:rsid w:val="23514077"/>
    <w:rsid w:val="23855295"/>
    <w:rsid w:val="23B20773"/>
    <w:rsid w:val="23CF6D67"/>
    <w:rsid w:val="24044CC6"/>
    <w:rsid w:val="248F188B"/>
    <w:rsid w:val="24E91488"/>
    <w:rsid w:val="25077EC5"/>
    <w:rsid w:val="25151459"/>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B04900"/>
    <w:rsid w:val="2C3A3275"/>
    <w:rsid w:val="2C495744"/>
    <w:rsid w:val="2CAF041D"/>
    <w:rsid w:val="2CEE6B8D"/>
    <w:rsid w:val="2D233DAE"/>
    <w:rsid w:val="2D8E403A"/>
    <w:rsid w:val="2E0770FA"/>
    <w:rsid w:val="2E145F76"/>
    <w:rsid w:val="2EA86D09"/>
    <w:rsid w:val="2F32226B"/>
    <w:rsid w:val="2F376D10"/>
    <w:rsid w:val="2FA231C5"/>
    <w:rsid w:val="308B65F2"/>
    <w:rsid w:val="3117229F"/>
    <w:rsid w:val="31395268"/>
    <w:rsid w:val="31950F1B"/>
    <w:rsid w:val="31A50177"/>
    <w:rsid w:val="320F0A18"/>
    <w:rsid w:val="32351CB2"/>
    <w:rsid w:val="324554E5"/>
    <w:rsid w:val="325D2B5A"/>
    <w:rsid w:val="327661FC"/>
    <w:rsid w:val="3288676B"/>
    <w:rsid w:val="32B33B5A"/>
    <w:rsid w:val="32EE27B2"/>
    <w:rsid w:val="33245EFA"/>
    <w:rsid w:val="33372789"/>
    <w:rsid w:val="333876C2"/>
    <w:rsid w:val="33484A1E"/>
    <w:rsid w:val="335F47E9"/>
    <w:rsid w:val="346E4104"/>
    <w:rsid w:val="3476470C"/>
    <w:rsid w:val="34D83C16"/>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30671A"/>
    <w:rsid w:val="3B5662AC"/>
    <w:rsid w:val="3C727D51"/>
    <w:rsid w:val="3CCE203C"/>
    <w:rsid w:val="3D0C1655"/>
    <w:rsid w:val="3D4E48C8"/>
    <w:rsid w:val="3D77737D"/>
    <w:rsid w:val="3DC04E13"/>
    <w:rsid w:val="3DD244E7"/>
    <w:rsid w:val="3E1907C2"/>
    <w:rsid w:val="3E5B41D6"/>
    <w:rsid w:val="3ECE16FA"/>
    <w:rsid w:val="3F072EB0"/>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901FC8"/>
    <w:rsid w:val="43EE582E"/>
    <w:rsid w:val="43FB3DA4"/>
    <w:rsid w:val="44022066"/>
    <w:rsid w:val="441C4006"/>
    <w:rsid w:val="44707FDB"/>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9E609E"/>
    <w:rsid w:val="4E0243C8"/>
    <w:rsid w:val="4EA61F19"/>
    <w:rsid w:val="4EB053BD"/>
    <w:rsid w:val="4FBC6FAF"/>
    <w:rsid w:val="4FDC68F3"/>
    <w:rsid w:val="50005DA1"/>
    <w:rsid w:val="502A6272"/>
    <w:rsid w:val="5041435B"/>
    <w:rsid w:val="50564CCA"/>
    <w:rsid w:val="505A1CB0"/>
    <w:rsid w:val="509778C7"/>
    <w:rsid w:val="51773E2A"/>
    <w:rsid w:val="51C53170"/>
    <w:rsid w:val="5280421D"/>
    <w:rsid w:val="52BF27F0"/>
    <w:rsid w:val="52FC10E1"/>
    <w:rsid w:val="535E62F0"/>
    <w:rsid w:val="5361709F"/>
    <w:rsid w:val="53705401"/>
    <w:rsid w:val="53752E8D"/>
    <w:rsid w:val="53832E83"/>
    <w:rsid w:val="53C44BEA"/>
    <w:rsid w:val="53D45151"/>
    <w:rsid w:val="540D782C"/>
    <w:rsid w:val="542835DF"/>
    <w:rsid w:val="542F1421"/>
    <w:rsid w:val="544B51D2"/>
    <w:rsid w:val="544D013B"/>
    <w:rsid w:val="546C32BA"/>
    <w:rsid w:val="55352F87"/>
    <w:rsid w:val="5553143F"/>
    <w:rsid w:val="55B42DC5"/>
    <w:rsid w:val="55CC7E5B"/>
    <w:rsid w:val="56E81135"/>
    <w:rsid w:val="57B55C42"/>
    <w:rsid w:val="586B2608"/>
    <w:rsid w:val="58E20C36"/>
    <w:rsid w:val="592D7AE2"/>
    <w:rsid w:val="593554F0"/>
    <w:rsid w:val="5A3078C5"/>
    <w:rsid w:val="5AAC4CA7"/>
    <w:rsid w:val="5ADF3A74"/>
    <w:rsid w:val="5AE53367"/>
    <w:rsid w:val="5B0B0083"/>
    <w:rsid w:val="5BC0364C"/>
    <w:rsid w:val="5BC3228B"/>
    <w:rsid w:val="5C3B1FEA"/>
    <w:rsid w:val="5C626A6F"/>
    <w:rsid w:val="5C6A01BF"/>
    <w:rsid w:val="5D041ECD"/>
    <w:rsid w:val="5E2D4C21"/>
    <w:rsid w:val="5EE41E2E"/>
    <w:rsid w:val="5F0F00DA"/>
    <w:rsid w:val="60017F85"/>
    <w:rsid w:val="6045086B"/>
    <w:rsid w:val="60745B63"/>
    <w:rsid w:val="61051332"/>
    <w:rsid w:val="62302F88"/>
    <w:rsid w:val="62812953"/>
    <w:rsid w:val="62B7743E"/>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051C54"/>
    <w:rsid w:val="6B5E2EC6"/>
    <w:rsid w:val="6C42065A"/>
    <w:rsid w:val="6C6F44FD"/>
    <w:rsid w:val="6CD4731D"/>
    <w:rsid w:val="6D121910"/>
    <w:rsid w:val="6D3205F0"/>
    <w:rsid w:val="6DB702B4"/>
    <w:rsid w:val="6E504618"/>
    <w:rsid w:val="6EB20078"/>
    <w:rsid w:val="6F5579D7"/>
    <w:rsid w:val="6F801AF8"/>
    <w:rsid w:val="6F8D5AAE"/>
    <w:rsid w:val="6FA0159D"/>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8469C2"/>
    <w:rsid w:val="73A85DC8"/>
    <w:rsid w:val="73C32C41"/>
    <w:rsid w:val="74573DE9"/>
    <w:rsid w:val="749900DE"/>
    <w:rsid w:val="74D53B99"/>
    <w:rsid w:val="754C1AAF"/>
    <w:rsid w:val="76991F3B"/>
    <w:rsid w:val="76D8737F"/>
    <w:rsid w:val="76E279D7"/>
    <w:rsid w:val="772E0626"/>
    <w:rsid w:val="7752184A"/>
    <w:rsid w:val="7754709D"/>
    <w:rsid w:val="776E285A"/>
    <w:rsid w:val="779E3171"/>
    <w:rsid w:val="77B02D8D"/>
    <w:rsid w:val="77C0093D"/>
    <w:rsid w:val="77C90B9C"/>
    <w:rsid w:val="78384CBC"/>
    <w:rsid w:val="784258BF"/>
    <w:rsid w:val="79366B52"/>
    <w:rsid w:val="793758F2"/>
    <w:rsid w:val="79DC6C3F"/>
    <w:rsid w:val="79ED4DBE"/>
    <w:rsid w:val="7A250260"/>
    <w:rsid w:val="7A787ECB"/>
    <w:rsid w:val="7A8B51CB"/>
    <w:rsid w:val="7AB507FA"/>
    <w:rsid w:val="7AC634CB"/>
    <w:rsid w:val="7C233DA1"/>
    <w:rsid w:val="7C3A7105"/>
    <w:rsid w:val="7C41564D"/>
    <w:rsid w:val="7C8E16C9"/>
    <w:rsid w:val="7CB561C0"/>
    <w:rsid w:val="7CCC277F"/>
    <w:rsid w:val="7CE3033A"/>
    <w:rsid w:val="7D0A2590"/>
    <w:rsid w:val="7D54493D"/>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2020-04-10T09:51:00Z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